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DA61" w14:textId="366F3CA7" w:rsidR="006A707B" w:rsidRDefault="0064055F" w:rsidP="006405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24"/>
        </w:rPr>
      </w:pPr>
      <w:r>
        <w:rPr>
          <w:rFonts w:eastAsia="Times New Roman" w:cstheme="minorHAnsi"/>
          <w:b/>
          <w:noProof/>
          <w:sz w:val="36"/>
          <w:szCs w:val="24"/>
        </w:rPr>
        <w:drawing>
          <wp:inline distT="0" distB="0" distL="0" distR="0" wp14:anchorId="6A181CCA" wp14:editId="4451159A">
            <wp:extent cx="3044952" cy="1524000"/>
            <wp:effectExtent l="0" t="0" r="3175" b="0"/>
            <wp:docPr id="1152572983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72983" name="Picture 1" descr="A logo for a health care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52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69953" w14:textId="3536DEBA" w:rsidR="0064055F" w:rsidRDefault="0064055F" w:rsidP="00F27A32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24"/>
        </w:rPr>
      </w:pPr>
      <w:r>
        <w:rPr>
          <w:rFonts w:eastAsia="Times New Roman" w:cstheme="minorHAnsi"/>
          <w:b/>
          <w:sz w:val="36"/>
          <w:szCs w:val="24"/>
        </w:rPr>
        <w:t>Tips for locating a preceptor</w:t>
      </w:r>
    </w:p>
    <w:p w14:paraId="161CED6C" w14:textId="20057AB2" w:rsidR="00025743" w:rsidRPr="00025743" w:rsidRDefault="00025743" w:rsidP="00025743">
      <w:pPr>
        <w:pStyle w:val="NoSpacing"/>
        <w:rPr>
          <w:b/>
          <w:bCs/>
        </w:rPr>
      </w:pPr>
      <w:r w:rsidRPr="00025743">
        <w:rPr>
          <w:b/>
          <w:bCs/>
        </w:rPr>
        <w:t>Who do you know?</w:t>
      </w:r>
    </w:p>
    <w:p w14:paraId="6897B18A" w14:textId="77777777" w:rsidR="00025743" w:rsidRPr="00025743" w:rsidRDefault="006A707B" w:rsidP="00025743">
      <w:pPr>
        <w:pStyle w:val="NoSpacing"/>
        <w:numPr>
          <w:ilvl w:val="0"/>
          <w:numId w:val="18"/>
        </w:numPr>
        <w:rPr>
          <w:b/>
        </w:rPr>
      </w:pPr>
      <w:r w:rsidRPr="00025743">
        <w:t xml:space="preserve">Reach out to dietitians you know.  </w:t>
      </w:r>
    </w:p>
    <w:p w14:paraId="164E7596" w14:textId="2EF42E0F" w:rsidR="00746B29" w:rsidRPr="00025743" w:rsidRDefault="006A707B" w:rsidP="00025743">
      <w:pPr>
        <w:pStyle w:val="NoSpacing"/>
        <w:numPr>
          <w:ilvl w:val="0"/>
          <w:numId w:val="18"/>
        </w:numPr>
        <w:rPr>
          <w:b/>
        </w:rPr>
      </w:pPr>
      <w:r w:rsidRPr="00025743">
        <w:t>Your DPD director, MNT or community nutrition professor may be able to share some names with you</w:t>
      </w:r>
    </w:p>
    <w:p w14:paraId="63FDCEEA" w14:textId="77777777" w:rsidR="0064055F" w:rsidRDefault="0064055F" w:rsidP="00025743">
      <w:pPr>
        <w:pStyle w:val="NoSpacing"/>
        <w:rPr>
          <w:b/>
          <w:bCs/>
        </w:rPr>
      </w:pPr>
    </w:p>
    <w:p w14:paraId="2013B962" w14:textId="0BE4CF9F" w:rsidR="00025743" w:rsidRDefault="006A707B" w:rsidP="00025743">
      <w:pPr>
        <w:pStyle w:val="NoSpacing"/>
      </w:pPr>
      <w:r w:rsidRPr="00025743">
        <w:rPr>
          <w:b/>
          <w:bCs/>
        </w:rPr>
        <w:t>Phone calls.</w:t>
      </w:r>
      <w:r w:rsidRPr="00746B29">
        <w:t xml:space="preserve">  </w:t>
      </w:r>
    </w:p>
    <w:p w14:paraId="4437F585" w14:textId="1E82EEE6" w:rsidR="00746B29" w:rsidRPr="00746B29" w:rsidRDefault="006A707B" w:rsidP="00025743">
      <w:pPr>
        <w:pStyle w:val="NoSpacing"/>
        <w:numPr>
          <w:ilvl w:val="0"/>
          <w:numId w:val="19"/>
        </w:numPr>
        <w:rPr>
          <w:b/>
        </w:rPr>
      </w:pPr>
      <w:r w:rsidRPr="00746B29">
        <w:t xml:space="preserve">Be independent and willing to cold-call!   </w:t>
      </w:r>
    </w:p>
    <w:p w14:paraId="042C7EB9" w14:textId="1D8DF80B" w:rsidR="00746B29" w:rsidRPr="00746B29" w:rsidRDefault="00746B29" w:rsidP="00025743">
      <w:pPr>
        <w:pStyle w:val="NoSpacing"/>
        <w:numPr>
          <w:ilvl w:val="0"/>
          <w:numId w:val="19"/>
        </w:numPr>
        <w:rPr>
          <w:b/>
        </w:rPr>
      </w:pPr>
      <w:r>
        <w:t xml:space="preserve">Call facilities near where you live or within commuting distance </w:t>
      </w:r>
    </w:p>
    <w:p w14:paraId="743C5B77" w14:textId="5BDC677F" w:rsidR="00025743" w:rsidRDefault="006A707B" w:rsidP="00025743">
      <w:pPr>
        <w:pStyle w:val="NoSpacing"/>
        <w:numPr>
          <w:ilvl w:val="0"/>
          <w:numId w:val="19"/>
        </w:numPr>
      </w:pPr>
      <w:r w:rsidRPr="00746B29">
        <w:t xml:space="preserve">It is better to call than email.  Emails get lost, </w:t>
      </w:r>
      <w:r w:rsidR="00B115C3" w:rsidRPr="00746B29">
        <w:t>ignored,</w:t>
      </w:r>
      <w:r w:rsidRPr="00746B29">
        <w:t xml:space="preserve"> or easy</w:t>
      </w:r>
    </w:p>
    <w:p w14:paraId="58D559D9" w14:textId="77777777" w:rsidR="0064055F" w:rsidRDefault="0064055F" w:rsidP="00025743">
      <w:pPr>
        <w:pStyle w:val="NoSpacing"/>
        <w:rPr>
          <w:b/>
          <w:bCs/>
        </w:rPr>
      </w:pPr>
    </w:p>
    <w:p w14:paraId="6EE74720" w14:textId="141DDDDE" w:rsidR="00025743" w:rsidRPr="00B95025" w:rsidRDefault="00025743" w:rsidP="00025743">
      <w:pPr>
        <w:pStyle w:val="NoSpacing"/>
        <w:rPr>
          <w:b/>
          <w:bCs/>
        </w:rPr>
      </w:pPr>
      <w:r w:rsidRPr="00B95025">
        <w:rPr>
          <w:b/>
          <w:bCs/>
        </w:rPr>
        <w:t xml:space="preserve">National Organization (AND) database  </w:t>
      </w:r>
    </w:p>
    <w:p w14:paraId="533BC141" w14:textId="19E52DF6" w:rsidR="00025743" w:rsidRDefault="00025743" w:rsidP="00025743">
      <w:pPr>
        <w:pStyle w:val="NoSpacing"/>
        <w:numPr>
          <w:ilvl w:val="0"/>
          <w:numId w:val="20"/>
        </w:numPr>
      </w:pPr>
      <w:r>
        <w:t>AND has a database which allows practitioners to register to potentially become preceptors</w:t>
      </w:r>
    </w:p>
    <w:p w14:paraId="0820E5BA" w14:textId="434AD67F" w:rsidR="00B95025" w:rsidRPr="00B95025" w:rsidRDefault="00B95025" w:rsidP="00B95025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                    </w:t>
      </w:r>
      <w:r>
        <w:t xml:space="preserve"> </w:t>
      </w:r>
      <w:hyperlink r:id="rId8" w:history="1">
        <w:r w:rsidRPr="0090507D">
          <w:rPr>
            <w:rStyle w:val="Hyperlink"/>
          </w:rPr>
          <w:t>https://www.eatrightpro.org/find-a-preceptor/?state=ShowSearch</w:t>
        </w:r>
      </w:hyperlink>
    </w:p>
    <w:p w14:paraId="1949B0B3" w14:textId="23318133" w:rsidR="00025743" w:rsidRDefault="00025743" w:rsidP="00025743">
      <w:pPr>
        <w:pStyle w:val="NoSpacing"/>
        <w:numPr>
          <w:ilvl w:val="0"/>
          <w:numId w:val="20"/>
        </w:numPr>
      </w:pPr>
      <w:r>
        <w:t xml:space="preserve">Must be an AND member to gain access to this feature.  </w:t>
      </w:r>
      <w:r w:rsidR="00B95025">
        <w:t xml:space="preserve">Students do receive a significant discount when enrolling for annual membership.  </w:t>
      </w:r>
    </w:p>
    <w:p w14:paraId="502D16F6" w14:textId="77777777" w:rsidR="00B95025" w:rsidRDefault="00B95025" w:rsidP="00B95025">
      <w:pPr>
        <w:pStyle w:val="NoSpacing"/>
        <w:numPr>
          <w:ilvl w:val="0"/>
          <w:numId w:val="20"/>
        </w:numPr>
        <w:rPr>
          <w:rFonts w:cstheme="minorHAnsi"/>
        </w:rPr>
      </w:pPr>
      <w:r w:rsidRPr="00B95025">
        <w:rPr>
          <w:rFonts w:cstheme="minorHAnsi"/>
          <w:color w:val="313131"/>
          <w:shd w:val="clear" w:color="auto" w:fill="FFFFFF"/>
        </w:rPr>
        <w:t>The database allows a search to be made by zip code with an option to choose which specific practice areas.</w:t>
      </w:r>
    </w:p>
    <w:p w14:paraId="55F4318D" w14:textId="77777777" w:rsidR="0064055F" w:rsidRDefault="0064055F" w:rsidP="00B95025">
      <w:pPr>
        <w:pStyle w:val="NoSpacing"/>
        <w:rPr>
          <w:b/>
          <w:bCs/>
        </w:rPr>
      </w:pPr>
    </w:p>
    <w:p w14:paraId="33AC70DF" w14:textId="209D8496" w:rsidR="00B95025" w:rsidRPr="00B95025" w:rsidRDefault="00B95025" w:rsidP="00B95025">
      <w:pPr>
        <w:pStyle w:val="NoSpacing"/>
        <w:rPr>
          <w:rFonts w:cstheme="minorHAnsi"/>
        </w:rPr>
      </w:pPr>
      <w:r>
        <w:rPr>
          <w:b/>
          <w:bCs/>
        </w:rPr>
        <w:t>Social Media</w:t>
      </w:r>
      <w:r w:rsidRPr="00746B29">
        <w:t xml:space="preserve">  </w:t>
      </w:r>
    </w:p>
    <w:p w14:paraId="7972DF58" w14:textId="4961845A" w:rsidR="00B95025" w:rsidRPr="00B95025" w:rsidRDefault="00B95025" w:rsidP="00B95025">
      <w:pPr>
        <w:pStyle w:val="NoSpacing"/>
        <w:numPr>
          <w:ilvl w:val="0"/>
          <w:numId w:val="19"/>
        </w:numPr>
        <w:rPr>
          <w:b/>
        </w:rPr>
      </w:pPr>
      <w:r>
        <w:t xml:space="preserve">Connect with Dietitians through Facebook RD groups </w:t>
      </w:r>
    </w:p>
    <w:p w14:paraId="3D1F5EEA" w14:textId="7157A87F" w:rsidR="00B95025" w:rsidRPr="00746B29" w:rsidRDefault="00B95025" w:rsidP="00B95025">
      <w:pPr>
        <w:pStyle w:val="NoSpacing"/>
        <w:numPr>
          <w:ilvl w:val="1"/>
          <w:numId w:val="19"/>
        </w:numPr>
        <w:rPr>
          <w:b/>
        </w:rPr>
      </w:pPr>
      <w:r>
        <w:t xml:space="preserve">RD2RD </w:t>
      </w:r>
    </w:p>
    <w:p w14:paraId="46EF25FC" w14:textId="20E99F7A" w:rsidR="00B95025" w:rsidRPr="00B95025" w:rsidRDefault="00B95025" w:rsidP="00B95025">
      <w:pPr>
        <w:pStyle w:val="NoSpacing"/>
        <w:numPr>
          <w:ilvl w:val="0"/>
          <w:numId w:val="19"/>
        </w:numPr>
        <w:rPr>
          <w:b/>
        </w:rPr>
      </w:pPr>
      <w:r>
        <w:t xml:space="preserve">Websites to help locate </w:t>
      </w:r>
      <w:r w:rsidR="0064055F">
        <w:t>RDNs</w:t>
      </w:r>
      <w:r>
        <w:t xml:space="preserve"> </w:t>
      </w:r>
    </w:p>
    <w:p w14:paraId="042C2E92" w14:textId="7E784CE4" w:rsidR="00B95025" w:rsidRPr="00B95025" w:rsidRDefault="00B95025" w:rsidP="00B950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</w:t>
      </w:r>
      <w:hyperlink r:id="rId9" w:history="1">
        <w:r w:rsidRPr="00B95025">
          <w:rPr>
            <w:rFonts w:ascii="Calibri" w:eastAsia="Calibri" w:hAnsi="Calibri" w:cs="Calibri"/>
            <w:color w:val="0000FF"/>
            <w:u w:val="single"/>
          </w:rPr>
          <w:t>https://www.healthprofs.com/us/nutritionists-dietitians?tr=Hdr_Brand</w:t>
        </w:r>
      </w:hyperlink>
    </w:p>
    <w:p w14:paraId="5F91077E" w14:textId="113B97AF" w:rsidR="00B95025" w:rsidRDefault="00B95025" w:rsidP="00B95025">
      <w:pPr>
        <w:pStyle w:val="NoSpacing"/>
        <w:numPr>
          <w:ilvl w:val="0"/>
          <w:numId w:val="19"/>
        </w:numPr>
      </w:pPr>
      <w:r>
        <w:t>Linked in</w:t>
      </w:r>
    </w:p>
    <w:p w14:paraId="3636DF94" w14:textId="55623BB4" w:rsidR="00B95025" w:rsidRDefault="00B95025" w:rsidP="00B95025">
      <w:pPr>
        <w:pStyle w:val="NoSpacing"/>
        <w:numPr>
          <w:ilvl w:val="1"/>
          <w:numId w:val="19"/>
        </w:numPr>
      </w:pPr>
      <w:r>
        <w:t>Connect with other R</w:t>
      </w:r>
      <w:r w:rsidR="0064055F">
        <w:t>DNs</w:t>
      </w:r>
      <w:r>
        <w:t xml:space="preserve"> </w:t>
      </w:r>
    </w:p>
    <w:p w14:paraId="6CC6C5C2" w14:textId="77777777" w:rsidR="0064055F" w:rsidRDefault="0064055F" w:rsidP="00385D83">
      <w:pPr>
        <w:pStyle w:val="NoSpacing"/>
        <w:rPr>
          <w:b/>
          <w:bCs/>
        </w:rPr>
      </w:pPr>
    </w:p>
    <w:p w14:paraId="4D892FDA" w14:textId="0DE38735" w:rsidR="00385D83" w:rsidRPr="00385D83" w:rsidRDefault="00385D83" w:rsidP="00385D83">
      <w:pPr>
        <w:pStyle w:val="NoSpacing"/>
      </w:pPr>
      <w:r>
        <w:rPr>
          <w:b/>
          <w:bCs/>
        </w:rPr>
        <w:t>Locating hospitals and long-term care centers</w:t>
      </w:r>
      <w:r w:rsidRPr="00746B29">
        <w:t xml:space="preserve"> </w:t>
      </w:r>
    </w:p>
    <w:p w14:paraId="03AB3AB4" w14:textId="61685D9E" w:rsidR="00385D83" w:rsidRPr="00385D83" w:rsidRDefault="00385D83" w:rsidP="00385D83">
      <w:pPr>
        <w:pStyle w:val="NoSpacing"/>
        <w:numPr>
          <w:ilvl w:val="0"/>
          <w:numId w:val="19"/>
        </w:numPr>
        <w:rPr>
          <w:b/>
        </w:rPr>
      </w:pPr>
      <w:r>
        <w:t xml:space="preserve">CMS (Centers for Medicare &amp; Medicaid Services) to access lists of hospitals, nursing homes, inpatient rehabilitation facilities and long-term care hospitals. </w:t>
      </w:r>
    </w:p>
    <w:p w14:paraId="7BDC6B8C" w14:textId="4A41ED81" w:rsidR="00385D83" w:rsidRPr="00385D83" w:rsidRDefault="00385D83" w:rsidP="00385D83">
      <w:pPr>
        <w:pStyle w:val="NoSpacing"/>
        <w:ind w:left="720"/>
        <w:rPr>
          <w:b/>
        </w:rPr>
      </w:pPr>
      <w:r>
        <w:t xml:space="preserve">     </w:t>
      </w:r>
      <w:hyperlink r:id="rId10" w:history="1">
        <w:r w:rsidRPr="006A0298">
          <w:rPr>
            <w:rStyle w:val="Hyperlink"/>
            <w:rFonts w:cstheme="minorHAnsi"/>
            <w:sz w:val="24"/>
            <w:szCs w:val="24"/>
          </w:rPr>
          <w:t>https://data.medicare.gov/</w:t>
        </w:r>
      </w:hyperlink>
    </w:p>
    <w:p w14:paraId="18F88F12" w14:textId="15D42F01" w:rsidR="00385D83" w:rsidRPr="00385D83" w:rsidRDefault="00385D83" w:rsidP="00385D83">
      <w:pPr>
        <w:pStyle w:val="NoSpacing"/>
        <w:numPr>
          <w:ilvl w:val="0"/>
          <w:numId w:val="19"/>
        </w:numPr>
        <w:rPr>
          <w:b/>
        </w:rPr>
      </w:pPr>
      <w:r>
        <w:t>Skilled Nursing Facilities locator by state or zip code</w:t>
      </w:r>
    </w:p>
    <w:p w14:paraId="72ABE9B6" w14:textId="50279909" w:rsidR="00A93BF1" w:rsidRPr="00A93BF1" w:rsidRDefault="00385D83" w:rsidP="00A93BF1">
      <w:pPr>
        <w:pStyle w:val="NoSpacing"/>
        <w:ind w:left="360"/>
        <w:rPr>
          <w:b/>
        </w:rPr>
      </w:pPr>
      <w:r>
        <w:t xml:space="preserve">             </w:t>
      </w:r>
      <w:hyperlink r:id="rId11" w:history="1">
        <w:r w:rsidRPr="00091450">
          <w:rPr>
            <w:rStyle w:val="Hyperlink"/>
            <w:rFonts w:cstheme="minorHAnsi"/>
            <w:sz w:val="24"/>
            <w:szCs w:val="24"/>
          </w:rPr>
          <w:t>https://www.skillednursingfacilities.org/directory/</w:t>
        </w:r>
      </w:hyperlink>
    </w:p>
    <w:p w14:paraId="78B68A46" w14:textId="77777777" w:rsidR="0064055F" w:rsidRDefault="0064055F" w:rsidP="00A93BF1">
      <w:pPr>
        <w:pStyle w:val="NoSpacing"/>
        <w:rPr>
          <w:b/>
          <w:bCs/>
        </w:rPr>
      </w:pPr>
    </w:p>
    <w:p w14:paraId="4831D0F2" w14:textId="3499509E" w:rsidR="00A93BF1" w:rsidRDefault="00A93BF1" w:rsidP="00A93BF1">
      <w:pPr>
        <w:pStyle w:val="NoSpacing"/>
      </w:pPr>
      <w:r w:rsidRPr="00025743">
        <w:rPr>
          <w:b/>
          <w:bCs/>
        </w:rPr>
        <w:t>P</w:t>
      </w:r>
      <w:r w:rsidR="00D56DEF">
        <w:rPr>
          <w:b/>
          <w:bCs/>
        </w:rPr>
        <w:t>rivate Practice Dietitians</w:t>
      </w:r>
      <w:r w:rsidRPr="00746B29">
        <w:t xml:space="preserve">  </w:t>
      </w:r>
    </w:p>
    <w:p w14:paraId="3A29A80F" w14:textId="70474448" w:rsidR="00A93BF1" w:rsidRPr="00746B29" w:rsidRDefault="00D56DEF" w:rsidP="00A93BF1">
      <w:pPr>
        <w:pStyle w:val="NoSpacing"/>
        <w:numPr>
          <w:ilvl w:val="0"/>
          <w:numId w:val="19"/>
        </w:numPr>
        <w:rPr>
          <w:b/>
        </w:rPr>
      </w:pPr>
      <w:r>
        <w:t xml:space="preserve">Look for private practice or consultant dietitians in your area.  Keith &amp; Associates, Inc. is a large consultant company servicing long term care centers, assisted living facilities, skilled nursing homes, rehab units, hospitals, DDSD (Developmentally Disable Services Division) clients, and private pay clients.     </w:t>
      </w:r>
    </w:p>
    <w:p w14:paraId="6B21209D" w14:textId="77777777" w:rsidR="00A93BF1" w:rsidRPr="00746B29" w:rsidRDefault="00A93BF1" w:rsidP="00A93BF1">
      <w:pPr>
        <w:pStyle w:val="NoSpacing"/>
        <w:numPr>
          <w:ilvl w:val="0"/>
          <w:numId w:val="19"/>
        </w:numPr>
        <w:rPr>
          <w:b/>
        </w:rPr>
      </w:pPr>
      <w:r>
        <w:t xml:space="preserve">Call facilities near where you live or within commuting distance </w:t>
      </w:r>
    </w:p>
    <w:p w14:paraId="70ED06B7" w14:textId="1E1612CC" w:rsidR="00A93BF1" w:rsidRDefault="00A93BF1" w:rsidP="00A93BF1">
      <w:pPr>
        <w:pStyle w:val="NoSpacing"/>
        <w:numPr>
          <w:ilvl w:val="0"/>
          <w:numId w:val="19"/>
        </w:numPr>
      </w:pPr>
      <w:r w:rsidRPr="00746B29">
        <w:t xml:space="preserve">It is better to call than email.  Emails get lost, </w:t>
      </w:r>
      <w:r w:rsidR="00B115C3" w:rsidRPr="00746B29">
        <w:t>ignored,</w:t>
      </w:r>
      <w:r w:rsidRPr="00746B29">
        <w:t xml:space="preserve"> or eas</w:t>
      </w:r>
      <w:r w:rsidR="00B115C3">
        <w:t>ily forgotten</w:t>
      </w:r>
    </w:p>
    <w:p w14:paraId="6F9F4BFD" w14:textId="59D94989" w:rsidR="00652DC1" w:rsidRPr="00025743" w:rsidRDefault="00652DC1" w:rsidP="00B95025">
      <w:pPr>
        <w:pStyle w:val="NoSpacing"/>
        <w:ind w:left="720"/>
      </w:pPr>
    </w:p>
    <w:p w14:paraId="3E2BCC70" w14:textId="787B6A59" w:rsidR="00385D83" w:rsidRPr="00C9125A" w:rsidRDefault="00385D83" w:rsidP="00164A8E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36"/>
        </w:rPr>
      </w:pPr>
      <w:r w:rsidRPr="00C9125A">
        <w:rPr>
          <w:rFonts w:eastAsia="Times New Roman" w:cstheme="minorHAnsi"/>
          <w:b/>
          <w:sz w:val="36"/>
          <w:szCs w:val="36"/>
        </w:rPr>
        <w:lastRenderedPageBreak/>
        <w:t>Additional tips for locating preceptors specific to each rotation</w:t>
      </w:r>
    </w:p>
    <w:p w14:paraId="499196FD" w14:textId="2F06696E" w:rsidR="00385D83" w:rsidRDefault="0064055F" w:rsidP="00385D8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Clinical 2</w:t>
      </w:r>
    </w:p>
    <w:p w14:paraId="141813BD" w14:textId="420FE21C" w:rsidR="00B115C3" w:rsidRPr="00B115C3" w:rsidRDefault="00B115C3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>
        <w:t>This rotation requires 320 hours onsite with a preceptor</w:t>
      </w:r>
    </w:p>
    <w:p w14:paraId="2FA6656E" w14:textId="7E54BE5E" w:rsidR="00385D83" w:rsidRPr="00385D83" w:rsidRDefault="0064055F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>
        <w:t>You must</w:t>
      </w:r>
      <w:r w:rsidR="005A4F53" w:rsidRPr="006A0298">
        <w:t xml:space="preserve"> schedule this rotation</w:t>
      </w:r>
      <w:r>
        <w:t xml:space="preserve"> AFTER clinical 1</w:t>
      </w:r>
    </w:p>
    <w:p w14:paraId="61EC051E" w14:textId="2C185469" w:rsidR="00385D83" w:rsidRPr="00385D83" w:rsidRDefault="00DF36F2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 w:rsidRPr="006A0298">
        <w:t xml:space="preserve">Schedule </w:t>
      </w:r>
      <w:r w:rsidR="00A90B94">
        <w:t>four</w:t>
      </w:r>
      <w:r w:rsidRPr="006A0298">
        <w:t xml:space="preserve"> or more continuous weeks at one place. </w:t>
      </w:r>
      <w:r w:rsidR="00A90B94">
        <w:t>You may go to an outpatient clinic for up to four weeks</w:t>
      </w:r>
    </w:p>
    <w:p w14:paraId="0C11C77A" w14:textId="1BDE860D" w:rsidR="00385D83" w:rsidRPr="00385D83" w:rsidRDefault="000B0B1B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 w:rsidRPr="00385D83">
        <w:rPr>
          <w:rFonts w:eastAsia="Times New Roman" w:cstheme="minorHAnsi"/>
          <w:sz w:val="24"/>
          <w:szCs w:val="24"/>
        </w:rPr>
        <w:t xml:space="preserve">Smaller regional hospitals are less likely to be saturated with dietetic interns </w:t>
      </w:r>
      <w:r w:rsidR="00A90B94" w:rsidRPr="00385D83">
        <w:rPr>
          <w:rFonts w:eastAsia="Times New Roman" w:cstheme="minorHAnsi"/>
          <w:sz w:val="24"/>
          <w:szCs w:val="24"/>
        </w:rPr>
        <w:t>than</w:t>
      </w:r>
      <w:r w:rsidRPr="00385D83">
        <w:rPr>
          <w:rFonts w:eastAsia="Times New Roman" w:cstheme="minorHAnsi"/>
          <w:sz w:val="24"/>
          <w:szCs w:val="24"/>
        </w:rPr>
        <w:t xml:space="preserve"> larger metropolitan hospitals</w:t>
      </w:r>
    </w:p>
    <w:p w14:paraId="22CB038F" w14:textId="34A3788E" w:rsidR="00385D83" w:rsidRPr="00385D83" w:rsidRDefault="00DF36F2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 w:rsidRPr="00385D83">
        <w:rPr>
          <w:rFonts w:eastAsia="Times New Roman" w:cstheme="minorHAnsi"/>
          <w:sz w:val="24"/>
          <w:szCs w:val="24"/>
        </w:rPr>
        <w:t xml:space="preserve">An intensive care </w:t>
      </w:r>
      <w:r w:rsidR="00B115C3">
        <w:rPr>
          <w:rFonts w:eastAsia="Times New Roman" w:cstheme="minorHAnsi"/>
          <w:sz w:val="24"/>
          <w:szCs w:val="24"/>
        </w:rPr>
        <w:t>unit</w:t>
      </w:r>
      <w:r w:rsidRPr="00385D83">
        <w:rPr>
          <w:rFonts w:eastAsia="Times New Roman" w:cstheme="minorHAnsi"/>
          <w:sz w:val="24"/>
          <w:szCs w:val="24"/>
        </w:rPr>
        <w:t xml:space="preserve"> is desirable but not required</w:t>
      </w:r>
    </w:p>
    <w:p w14:paraId="09FDEF03" w14:textId="2F85CD11" w:rsidR="00DF36F2" w:rsidRPr="00385D83" w:rsidRDefault="00DF36F2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 w:rsidRPr="00385D83">
        <w:rPr>
          <w:rFonts w:eastAsia="Times New Roman" w:cstheme="minorHAnsi"/>
          <w:sz w:val="24"/>
          <w:szCs w:val="24"/>
        </w:rPr>
        <w:t xml:space="preserve">A skilled nursing or rehab facility </w:t>
      </w:r>
      <w:r w:rsidR="000201DE">
        <w:rPr>
          <w:rFonts w:eastAsia="Times New Roman" w:cstheme="minorHAnsi"/>
          <w:sz w:val="24"/>
          <w:szCs w:val="24"/>
        </w:rPr>
        <w:t xml:space="preserve">works well to meet the requirements for a </w:t>
      </w:r>
      <w:r w:rsidR="00A90B94">
        <w:rPr>
          <w:rFonts w:eastAsia="Times New Roman" w:cstheme="minorHAnsi"/>
          <w:sz w:val="24"/>
          <w:szCs w:val="24"/>
        </w:rPr>
        <w:t>clinical</w:t>
      </w:r>
      <w:r w:rsidR="000201DE">
        <w:rPr>
          <w:rFonts w:eastAsia="Times New Roman" w:cstheme="minorHAnsi"/>
          <w:sz w:val="24"/>
          <w:szCs w:val="24"/>
        </w:rPr>
        <w:t xml:space="preserve"> rotation</w:t>
      </w:r>
    </w:p>
    <w:p w14:paraId="6C1F7D5D" w14:textId="77777777" w:rsidR="000201DE" w:rsidRDefault="000201DE" w:rsidP="000201DE">
      <w:pPr>
        <w:pStyle w:val="NoSpacing"/>
        <w:rPr>
          <w:b/>
          <w:bCs/>
          <w:u w:val="single"/>
        </w:rPr>
      </w:pPr>
    </w:p>
    <w:p w14:paraId="2C146CE3" w14:textId="4BA98E04" w:rsidR="00B115C3" w:rsidRPr="00B115C3" w:rsidRDefault="000201DE" w:rsidP="00B115C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Foodservice</w:t>
      </w:r>
      <w:r w:rsidRPr="00385D83">
        <w:rPr>
          <w:b/>
          <w:bCs/>
          <w:u w:val="single"/>
        </w:rPr>
        <w:t xml:space="preserve"> </w:t>
      </w:r>
    </w:p>
    <w:p w14:paraId="1ECF4BCF" w14:textId="77777777" w:rsidR="00B115C3" w:rsidRPr="00B115C3" w:rsidRDefault="00B115C3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This rotation requires 240 hours onsite with a preceptor</w:t>
      </w:r>
    </w:p>
    <w:p w14:paraId="624F92CC" w14:textId="2A6FD1C5" w:rsidR="000201DE" w:rsidRP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The location needs to serve a minimum</w:t>
      </w:r>
      <w:r w:rsidRPr="000201D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of  </w:t>
      </w:r>
      <w:r w:rsidRPr="000201DE">
        <w:rPr>
          <w:rFonts w:eastAsia="Times New Roman" w:cstheme="minorHAnsi"/>
          <w:sz w:val="24"/>
          <w:szCs w:val="24"/>
        </w:rPr>
        <w:t>60 meals per day</w:t>
      </w:r>
    </w:p>
    <w:p w14:paraId="090B1F28" w14:textId="7F0D02FF" w:rsid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Consider doing it at the same </w:t>
      </w:r>
      <w:r w:rsidR="00A90B94">
        <w:rPr>
          <w:rFonts w:eastAsia="Times New Roman" w:cstheme="minorHAnsi"/>
          <w:sz w:val="24"/>
          <w:szCs w:val="24"/>
        </w:rPr>
        <w:t xml:space="preserve">hospital or skilled nursing facility </w:t>
      </w:r>
      <w:r>
        <w:rPr>
          <w:rFonts w:eastAsia="Times New Roman" w:cstheme="minorHAnsi"/>
          <w:sz w:val="24"/>
          <w:szCs w:val="24"/>
        </w:rPr>
        <w:t>as your clinical rotation</w:t>
      </w:r>
    </w:p>
    <w:p w14:paraId="7F74E8F5" w14:textId="3C6B1CFB" w:rsidR="000201DE" w:rsidRP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 w:rsidRPr="000201DE">
        <w:rPr>
          <w:rFonts w:eastAsia="Times New Roman" w:cstheme="minorHAnsi"/>
          <w:sz w:val="24"/>
          <w:szCs w:val="24"/>
        </w:rPr>
        <w:t>Public or private schools work well. School districts often have a dietitian or food service manager who supervises the school breakfast and lunch program</w:t>
      </w:r>
    </w:p>
    <w:p w14:paraId="3F7146C1" w14:textId="7443A50B" w:rsidR="000201DE" w:rsidRP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May also consider c</w:t>
      </w:r>
      <w:r w:rsidRPr="000201DE">
        <w:rPr>
          <w:rFonts w:eastAsia="Times New Roman" w:cstheme="minorHAnsi"/>
          <w:sz w:val="24"/>
          <w:szCs w:val="24"/>
        </w:rPr>
        <w:t>ollege foodservice, Head Start or</w:t>
      </w:r>
      <w:r w:rsidR="00A90B94">
        <w:rPr>
          <w:rFonts w:eastAsia="Times New Roman" w:cstheme="minorHAnsi"/>
          <w:sz w:val="24"/>
          <w:szCs w:val="24"/>
        </w:rPr>
        <w:t xml:space="preserve"> </w:t>
      </w:r>
      <w:r w:rsidRPr="000201DE">
        <w:rPr>
          <w:rFonts w:eastAsia="Times New Roman" w:cstheme="minorHAnsi"/>
          <w:sz w:val="24"/>
          <w:szCs w:val="24"/>
        </w:rPr>
        <w:t xml:space="preserve">even food banks where they provide meals-on-wheels </w:t>
      </w:r>
    </w:p>
    <w:p w14:paraId="1B56E03C" w14:textId="0ACB4EF1" w:rsidR="000201DE" w:rsidRP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Inform the preceptor </w:t>
      </w:r>
      <w:r w:rsidR="00A90B94">
        <w:rPr>
          <w:rFonts w:eastAsia="Times New Roman" w:cstheme="minorHAnsi"/>
          <w:sz w:val="24"/>
          <w:szCs w:val="24"/>
        </w:rPr>
        <w:t>that KACAD</w:t>
      </w:r>
      <w:r w:rsidRPr="000201DE">
        <w:rPr>
          <w:rFonts w:eastAsia="Times New Roman" w:cstheme="minorHAnsi"/>
          <w:sz w:val="24"/>
          <w:szCs w:val="24"/>
        </w:rPr>
        <w:t xml:space="preserve"> has already developed a curriculum that has assignments designed to benefit </w:t>
      </w:r>
      <w:r>
        <w:rPr>
          <w:rFonts w:eastAsia="Times New Roman" w:cstheme="minorHAnsi"/>
          <w:sz w:val="24"/>
          <w:szCs w:val="24"/>
        </w:rPr>
        <w:t xml:space="preserve">both the </w:t>
      </w:r>
      <w:r w:rsidRPr="000201DE">
        <w:rPr>
          <w:rFonts w:eastAsia="Times New Roman" w:cstheme="minorHAnsi"/>
          <w:sz w:val="24"/>
          <w:szCs w:val="24"/>
        </w:rPr>
        <w:t>student and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0201DE">
        <w:rPr>
          <w:rFonts w:eastAsia="Times New Roman" w:cstheme="minorHAnsi"/>
          <w:sz w:val="24"/>
          <w:szCs w:val="24"/>
        </w:rPr>
        <w:t xml:space="preserve">facility. These include doing sanitation surveys, conducting in-service training, developing recipes, </w:t>
      </w:r>
      <w:r w:rsidR="00A90B94">
        <w:rPr>
          <w:rFonts w:eastAsia="Times New Roman" w:cstheme="minorHAnsi"/>
          <w:sz w:val="24"/>
          <w:szCs w:val="24"/>
        </w:rPr>
        <w:t>inventory management, and having a theme meal or event</w:t>
      </w:r>
    </w:p>
    <w:p w14:paraId="59E0B02D" w14:textId="77777777" w:rsidR="000201DE" w:rsidRPr="000201DE" w:rsidRDefault="000201DE" w:rsidP="000201DE">
      <w:pPr>
        <w:pStyle w:val="NoSpacing"/>
        <w:ind w:left="720"/>
        <w:rPr>
          <w:b/>
          <w:bCs/>
          <w:u w:val="single"/>
        </w:rPr>
      </w:pPr>
    </w:p>
    <w:p w14:paraId="38042089" w14:textId="6821F91F" w:rsidR="000201DE" w:rsidRDefault="000201DE" w:rsidP="000201D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Community</w:t>
      </w:r>
      <w:r w:rsidRPr="00385D83">
        <w:rPr>
          <w:b/>
          <w:bCs/>
          <w:u w:val="single"/>
        </w:rPr>
        <w:t xml:space="preserve"> </w:t>
      </w:r>
    </w:p>
    <w:p w14:paraId="2F697BF7" w14:textId="577E567F" w:rsidR="000201DE" w:rsidRPr="000201DE" w:rsidRDefault="00A90B94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This rotation </w:t>
      </w:r>
      <w:r w:rsidR="00B115C3">
        <w:rPr>
          <w:rFonts w:eastAsia="Times New Roman" w:cstheme="minorHAnsi"/>
          <w:sz w:val="24"/>
          <w:szCs w:val="24"/>
        </w:rPr>
        <w:t>requires</w:t>
      </w:r>
      <w:r>
        <w:rPr>
          <w:rFonts w:eastAsia="Times New Roman" w:cstheme="minorHAnsi"/>
          <w:sz w:val="24"/>
          <w:szCs w:val="24"/>
        </w:rPr>
        <w:t xml:space="preserve"> 128 hours</w:t>
      </w:r>
      <w:r w:rsidR="00F27A32">
        <w:rPr>
          <w:rFonts w:eastAsia="Times New Roman" w:cstheme="minorHAnsi"/>
          <w:sz w:val="24"/>
          <w:szCs w:val="24"/>
        </w:rPr>
        <w:t xml:space="preserve"> </w:t>
      </w:r>
      <w:r w:rsidR="00B115C3">
        <w:rPr>
          <w:rFonts w:eastAsia="Times New Roman" w:cstheme="minorHAnsi"/>
          <w:sz w:val="24"/>
          <w:szCs w:val="24"/>
        </w:rPr>
        <w:t>onsite with a preceptor; one place recommended</w:t>
      </w:r>
    </w:p>
    <w:p w14:paraId="4B71CA7C" w14:textId="3A886942" w:rsidR="000201DE" w:rsidRPr="00F27A32" w:rsidRDefault="00F27A32" w:rsidP="005140B4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Recommended sites </w:t>
      </w:r>
      <w:r w:rsidR="000201DE" w:rsidRPr="00F27A32">
        <w:rPr>
          <w:rFonts w:eastAsia="Times New Roman" w:cstheme="minorHAnsi"/>
          <w:sz w:val="24"/>
          <w:szCs w:val="24"/>
        </w:rPr>
        <w:t xml:space="preserve">include public health departments, WIC, senior nutrition sites, SNAP education (often administered by Cooperative Extension), Head Start, grocery stores, YMCAs, </w:t>
      </w:r>
      <w:r>
        <w:rPr>
          <w:rFonts w:eastAsia="Times New Roman" w:cstheme="minorHAnsi"/>
          <w:sz w:val="24"/>
          <w:szCs w:val="24"/>
        </w:rPr>
        <w:t xml:space="preserve">schools, or </w:t>
      </w:r>
      <w:r w:rsidR="000201DE" w:rsidRPr="00F27A32">
        <w:rPr>
          <w:rFonts w:eastAsia="Times New Roman" w:cstheme="minorHAnsi"/>
          <w:sz w:val="24"/>
          <w:szCs w:val="24"/>
        </w:rPr>
        <w:t>cardiac rehab centers or with dietitians in private practice</w:t>
      </w:r>
    </w:p>
    <w:p w14:paraId="00C16FD4" w14:textId="1D768EA9" w:rsidR="000201DE" w:rsidRPr="000201DE" w:rsidRDefault="00F27A32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You may not</w:t>
      </w:r>
      <w:r w:rsidR="000201DE">
        <w:rPr>
          <w:rFonts w:eastAsia="Times New Roman" w:cstheme="minorHAnsi"/>
          <w:sz w:val="24"/>
          <w:szCs w:val="24"/>
        </w:rPr>
        <w:t xml:space="preserve"> </w:t>
      </w:r>
      <w:r w:rsidR="000201DE" w:rsidRPr="000201DE">
        <w:rPr>
          <w:rFonts w:eastAsia="Times New Roman" w:cstheme="minorHAnsi"/>
          <w:sz w:val="24"/>
          <w:szCs w:val="24"/>
        </w:rPr>
        <w:t xml:space="preserve">use a gym with a personal fitness trainer </w:t>
      </w:r>
      <w:r>
        <w:rPr>
          <w:rFonts w:eastAsia="Times New Roman" w:cstheme="minorHAnsi"/>
          <w:sz w:val="24"/>
          <w:szCs w:val="24"/>
        </w:rPr>
        <w:t xml:space="preserve">for a preceptor </w:t>
      </w:r>
      <w:r w:rsidR="000201DE" w:rsidRPr="000201DE">
        <w:rPr>
          <w:rFonts w:eastAsia="Times New Roman" w:cstheme="minorHAnsi"/>
          <w:sz w:val="24"/>
          <w:szCs w:val="24"/>
        </w:rPr>
        <w:t>unless that person is also a dietitian</w:t>
      </w:r>
    </w:p>
    <w:p w14:paraId="0A8DFB86" w14:textId="77777777" w:rsidR="000201DE" w:rsidRPr="000201DE" w:rsidRDefault="000201DE" w:rsidP="000201DE">
      <w:pPr>
        <w:pStyle w:val="NoSpacing"/>
        <w:rPr>
          <w:b/>
          <w:bCs/>
          <w:u w:val="single"/>
        </w:rPr>
      </w:pPr>
    </w:p>
    <w:p w14:paraId="3D4DCBB4" w14:textId="6F0512A0" w:rsidR="000201DE" w:rsidRDefault="000201DE" w:rsidP="000201D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Business &amp; Entrepreneurship </w:t>
      </w:r>
      <w:r w:rsidRPr="00385D83">
        <w:rPr>
          <w:b/>
          <w:bCs/>
          <w:u w:val="single"/>
        </w:rPr>
        <w:t xml:space="preserve"> </w:t>
      </w:r>
    </w:p>
    <w:p w14:paraId="29650368" w14:textId="3D46488B" w:rsidR="00B115C3" w:rsidRPr="00B115C3" w:rsidRDefault="00B115C3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t>This rotation requires 160 hours onsite with a preceptor</w:t>
      </w:r>
    </w:p>
    <w:p w14:paraId="1FFA2D38" w14:textId="119C047E" w:rsidR="000201DE" w:rsidRPr="000201DE" w:rsidRDefault="00A90B94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Use</w:t>
      </w:r>
      <w:r w:rsidR="000201DE">
        <w:rPr>
          <w:rFonts w:eastAsia="Times New Roman" w:cstheme="minorHAnsi"/>
          <w:sz w:val="24"/>
          <w:szCs w:val="24"/>
        </w:rPr>
        <w:t xml:space="preserve"> any business of interest </w:t>
      </w:r>
      <w:r>
        <w:rPr>
          <w:rFonts w:eastAsia="Times New Roman" w:cstheme="minorHAnsi"/>
          <w:sz w:val="24"/>
          <w:szCs w:val="24"/>
        </w:rPr>
        <w:t>to you</w:t>
      </w:r>
    </w:p>
    <w:p w14:paraId="1CC42695" w14:textId="48D52D47" w:rsidR="000201DE" w:rsidRPr="000201DE" w:rsidRDefault="000201DE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Inform the preceptor </w:t>
      </w:r>
      <w:r w:rsidR="00C9125A">
        <w:rPr>
          <w:rFonts w:eastAsia="Times New Roman" w:cstheme="minorHAnsi"/>
          <w:sz w:val="24"/>
          <w:szCs w:val="24"/>
        </w:rPr>
        <w:t>KACAD</w:t>
      </w:r>
      <w:r>
        <w:rPr>
          <w:rFonts w:eastAsia="Times New Roman" w:cstheme="minorHAnsi"/>
          <w:sz w:val="24"/>
          <w:szCs w:val="24"/>
        </w:rPr>
        <w:t xml:space="preserve"> has developed curriculum to benefit both the student and the facility.  This includes writing a business plan</w:t>
      </w:r>
      <w:r w:rsidR="00C9125A">
        <w:rPr>
          <w:rFonts w:eastAsia="Times New Roman" w:cstheme="minorHAnsi"/>
          <w:sz w:val="24"/>
          <w:szCs w:val="24"/>
        </w:rPr>
        <w:t xml:space="preserve"> and </w:t>
      </w:r>
      <w:r>
        <w:rPr>
          <w:rFonts w:eastAsia="Times New Roman" w:cstheme="minorHAnsi"/>
          <w:sz w:val="24"/>
          <w:szCs w:val="24"/>
        </w:rPr>
        <w:t>developing a website</w:t>
      </w:r>
      <w:r w:rsidR="00C9125A">
        <w:rPr>
          <w:rFonts w:eastAsia="Times New Roman" w:cstheme="minorHAnsi"/>
          <w:sz w:val="24"/>
          <w:szCs w:val="24"/>
        </w:rPr>
        <w:t xml:space="preserve"> that the preceptor will evaluate, and </w:t>
      </w:r>
      <w:r>
        <w:rPr>
          <w:rFonts w:eastAsia="Times New Roman" w:cstheme="minorHAnsi"/>
          <w:sz w:val="24"/>
          <w:szCs w:val="24"/>
        </w:rPr>
        <w:t xml:space="preserve">social media </w:t>
      </w:r>
      <w:r w:rsidR="00C9125A">
        <w:rPr>
          <w:rFonts w:eastAsia="Times New Roman" w:cstheme="minorHAnsi"/>
          <w:sz w:val="24"/>
          <w:szCs w:val="24"/>
        </w:rPr>
        <w:t>posts that will</w:t>
      </w:r>
      <w:r>
        <w:rPr>
          <w:rFonts w:eastAsia="Times New Roman" w:cstheme="minorHAnsi"/>
          <w:sz w:val="24"/>
          <w:szCs w:val="24"/>
        </w:rPr>
        <w:t xml:space="preserve"> benefit the business</w:t>
      </w:r>
    </w:p>
    <w:p w14:paraId="69794018" w14:textId="55E0982F" w:rsidR="000201DE" w:rsidRPr="000201DE" w:rsidRDefault="00911E84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RDN in private practice, fitness trainer in private practice, attorney, restaurant owner, or small business owner</w:t>
      </w:r>
    </w:p>
    <w:p w14:paraId="3D9B2C65" w14:textId="1D4F76A6" w:rsidR="00F641DE" w:rsidRPr="00D56DEF" w:rsidRDefault="00911E84" w:rsidP="00164A8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</w:rPr>
      </w:pPr>
      <w:r w:rsidRPr="00C9125A">
        <w:rPr>
          <w:rFonts w:eastAsia="Times New Roman" w:cstheme="minorHAnsi"/>
          <w:b/>
          <w:bCs/>
          <w:sz w:val="36"/>
          <w:szCs w:val="36"/>
        </w:rPr>
        <w:t>Tips to prepare yourself when locating a preceptor</w:t>
      </w:r>
      <w:r w:rsidRPr="00D56DEF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5B0B8D59" w14:textId="77777777" w:rsidR="004011B1" w:rsidRPr="006A0298" w:rsidRDefault="004011B1" w:rsidP="00F27A3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27A32">
        <w:rPr>
          <w:rFonts w:eastAsia="Times New Roman" w:cstheme="minorHAnsi"/>
          <w:b/>
          <w:bCs/>
          <w:sz w:val="24"/>
          <w:szCs w:val="24"/>
        </w:rPr>
        <w:t>Call</w:t>
      </w:r>
      <w:r w:rsidRPr="006A0298">
        <w:rPr>
          <w:rFonts w:eastAsia="Times New Roman" w:cstheme="minorHAnsi"/>
          <w:sz w:val="24"/>
          <w:szCs w:val="24"/>
        </w:rPr>
        <w:t xml:space="preserve"> the clinical nutrition </w:t>
      </w:r>
      <w:r w:rsidR="005A29F6" w:rsidRPr="006A0298">
        <w:rPr>
          <w:rFonts w:eastAsia="Times New Roman" w:cstheme="minorHAnsi"/>
          <w:sz w:val="24"/>
          <w:szCs w:val="24"/>
        </w:rPr>
        <w:t>manager</w:t>
      </w:r>
      <w:r w:rsidRPr="006A0298">
        <w:rPr>
          <w:rFonts w:eastAsia="Times New Roman" w:cstheme="minorHAnsi"/>
          <w:sz w:val="24"/>
          <w:szCs w:val="24"/>
        </w:rPr>
        <w:t xml:space="preserve"> </w:t>
      </w:r>
      <w:r w:rsidR="00DF36F2" w:rsidRPr="006A0298">
        <w:rPr>
          <w:rFonts w:eastAsia="Times New Roman" w:cstheme="minorHAnsi"/>
          <w:sz w:val="24"/>
          <w:szCs w:val="24"/>
        </w:rPr>
        <w:t>or only dietitian (if that is the case)</w:t>
      </w:r>
      <w:r w:rsidRPr="006A0298">
        <w:rPr>
          <w:rFonts w:eastAsia="Times New Roman" w:cstheme="minorHAnsi"/>
          <w:sz w:val="24"/>
          <w:szCs w:val="24"/>
        </w:rPr>
        <w:t xml:space="preserve"> and </w:t>
      </w:r>
      <w:r w:rsidRPr="006A0298">
        <w:rPr>
          <w:rFonts w:eastAsia="Times New Roman" w:cstheme="minorHAnsi"/>
          <w:b/>
          <w:sz w:val="24"/>
          <w:szCs w:val="24"/>
        </w:rPr>
        <w:t>ask for an appointment</w:t>
      </w:r>
      <w:r w:rsidRPr="006A0298">
        <w:rPr>
          <w:rFonts w:eastAsia="Times New Roman" w:cstheme="minorHAnsi"/>
          <w:sz w:val="24"/>
          <w:szCs w:val="24"/>
        </w:rPr>
        <w:t xml:space="preserve">. Tell the dietitian that you are or soon will be a dietetics graduate and that </w:t>
      </w:r>
      <w:r w:rsidR="00F43F87" w:rsidRPr="006A0298">
        <w:rPr>
          <w:rFonts w:eastAsia="Times New Roman" w:cstheme="minorHAnsi"/>
          <w:sz w:val="24"/>
          <w:szCs w:val="24"/>
        </w:rPr>
        <w:t xml:space="preserve">you </w:t>
      </w:r>
      <w:r w:rsidRPr="006A0298">
        <w:rPr>
          <w:rFonts w:eastAsia="Times New Roman" w:cstheme="minorHAnsi"/>
          <w:sz w:val="24"/>
          <w:szCs w:val="24"/>
        </w:rPr>
        <w:t>are preparing to do your internship, so you are interviewing dietitians.</w:t>
      </w:r>
    </w:p>
    <w:p w14:paraId="1CD73D1B" w14:textId="6B019EDA" w:rsidR="0064055F" w:rsidRPr="00F27A32" w:rsidRDefault="004011B1" w:rsidP="00713F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27A32">
        <w:rPr>
          <w:rFonts w:eastAsia="Times New Roman" w:cstheme="minorHAnsi"/>
          <w:sz w:val="24"/>
          <w:szCs w:val="24"/>
        </w:rPr>
        <w:t>Go into the appointment dressed</w:t>
      </w:r>
      <w:r w:rsidR="00E069AC" w:rsidRPr="00F27A32">
        <w:rPr>
          <w:rFonts w:eastAsia="Times New Roman" w:cstheme="minorHAnsi"/>
          <w:sz w:val="24"/>
          <w:szCs w:val="24"/>
        </w:rPr>
        <w:t xml:space="preserve"> modestly and</w:t>
      </w:r>
      <w:r w:rsidRPr="00F27A32">
        <w:rPr>
          <w:rFonts w:eastAsia="Times New Roman" w:cstheme="minorHAnsi"/>
          <w:sz w:val="24"/>
          <w:szCs w:val="24"/>
        </w:rPr>
        <w:t xml:space="preserve"> professionally</w:t>
      </w:r>
      <w:r w:rsidR="00E069AC" w:rsidRPr="00F27A32">
        <w:rPr>
          <w:rFonts w:eastAsia="Times New Roman" w:cstheme="minorHAnsi"/>
          <w:sz w:val="24"/>
          <w:szCs w:val="24"/>
        </w:rPr>
        <w:t xml:space="preserve">; </w:t>
      </w:r>
      <w:r w:rsidRPr="00F27A32">
        <w:rPr>
          <w:rFonts w:eastAsia="Times New Roman" w:cstheme="minorHAnsi"/>
          <w:sz w:val="24"/>
          <w:szCs w:val="24"/>
        </w:rPr>
        <w:t xml:space="preserve">be prepared. Take a resume and the </w:t>
      </w:r>
      <w:r w:rsidR="0064055F" w:rsidRPr="00F27A32">
        <w:rPr>
          <w:rFonts w:eastAsia="Times New Roman" w:cstheme="minorHAnsi"/>
          <w:sz w:val="24"/>
          <w:szCs w:val="24"/>
        </w:rPr>
        <w:t>KACAD</w:t>
      </w:r>
      <w:r w:rsidRPr="00F27A32">
        <w:rPr>
          <w:rFonts w:eastAsia="Times New Roman" w:cstheme="minorHAnsi"/>
          <w:sz w:val="24"/>
          <w:szCs w:val="24"/>
        </w:rPr>
        <w:t xml:space="preserve"> </w:t>
      </w:r>
      <w:r w:rsidR="00911E84" w:rsidRPr="00F27A32">
        <w:rPr>
          <w:rFonts w:eastAsia="Times New Roman" w:cstheme="minorHAnsi"/>
          <w:sz w:val="24"/>
          <w:szCs w:val="24"/>
        </w:rPr>
        <w:t xml:space="preserve">Sites &amp; Preceptors form found below and found on the </w:t>
      </w:r>
      <w:r w:rsidR="0064055F" w:rsidRPr="00F27A32">
        <w:rPr>
          <w:rFonts w:eastAsia="Times New Roman" w:cstheme="minorHAnsi"/>
          <w:sz w:val="24"/>
          <w:szCs w:val="24"/>
        </w:rPr>
        <w:t>program</w:t>
      </w:r>
      <w:r w:rsidR="00911E84" w:rsidRPr="00F27A32">
        <w:rPr>
          <w:rFonts w:eastAsia="Times New Roman" w:cstheme="minorHAnsi"/>
          <w:sz w:val="24"/>
          <w:szCs w:val="24"/>
        </w:rPr>
        <w:t xml:space="preserve"> website</w:t>
      </w:r>
      <w:r w:rsidR="00F27A32" w:rsidRPr="00F27A32">
        <w:rPr>
          <w:rFonts w:eastAsia="Times New Roman" w:cstheme="minorHAnsi"/>
          <w:sz w:val="24"/>
          <w:szCs w:val="24"/>
        </w:rPr>
        <w:t xml:space="preserve"> at </w:t>
      </w:r>
      <w:hyperlink r:id="rId12" w:history="1">
        <w:r w:rsidR="0064055F" w:rsidRPr="00F27A32">
          <w:rPr>
            <w:rStyle w:val="Hyperlink"/>
            <w:rFonts w:eastAsia="Times New Roman" w:cstheme="minorHAnsi"/>
            <w:sz w:val="24"/>
            <w:szCs w:val="24"/>
          </w:rPr>
          <w:t>https://www.kacad.org/facilities-and-preceptors</w:t>
        </w:r>
      </w:hyperlink>
    </w:p>
    <w:p w14:paraId="0F7F5087" w14:textId="577F4491" w:rsidR="004011B1" w:rsidRPr="006A0298" w:rsidRDefault="004011B1" w:rsidP="004011B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lastRenderedPageBreak/>
        <w:t>Ask your interviewer how he or she became a dietitian and where they did their supervised practice hours</w:t>
      </w:r>
    </w:p>
    <w:p w14:paraId="2240FCF3" w14:textId="7C75655F" w:rsidR="00C4178E" w:rsidRPr="006A0298" w:rsidRDefault="00C4178E" w:rsidP="00C4178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>If you have a compelling reason for doing an internship in their area, share it</w:t>
      </w:r>
    </w:p>
    <w:p w14:paraId="4B7DD655" w14:textId="458598A8" w:rsidR="00911E84" w:rsidRDefault="00911E84" w:rsidP="005A4F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Please share with the RDN or other preceptor about the benefits that you can bring to their business.  For example: CEU’s for being a preceptor, </w:t>
      </w:r>
      <w:r w:rsidR="00F27A32">
        <w:rPr>
          <w:rFonts w:eastAsia="Times New Roman" w:cstheme="minorHAnsi"/>
          <w:sz w:val="24"/>
          <w:szCs w:val="24"/>
        </w:rPr>
        <w:t>in-service</w:t>
      </w:r>
      <w:r>
        <w:rPr>
          <w:rFonts w:eastAsia="Times New Roman" w:cstheme="minorHAnsi"/>
          <w:sz w:val="24"/>
          <w:szCs w:val="24"/>
        </w:rPr>
        <w:t xml:space="preserve"> training that you will provide to the foodservice staff at the site, theme meal that you will put together to offer to the employees and/ or clients at that site, or website development for a business</w:t>
      </w:r>
    </w:p>
    <w:p w14:paraId="2938E499" w14:textId="0F2C8F5C" w:rsidR="005A4F53" w:rsidRPr="006A0298" w:rsidRDefault="00911E84" w:rsidP="005A4F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let the</w:t>
      </w:r>
      <w:r w:rsidR="00C4178E" w:rsidRPr="006A0298">
        <w:rPr>
          <w:rFonts w:eastAsia="Times New Roman" w:cstheme="minorHAnsi"/>
          <w:sz w:val="24"/>
          <w:szCs w:val="24"/>
        </w:rPr>
        <w:t xml:space="preserve"> dietitian or facility </w:t>
      </w:r>
      <w:r>
        <w:rPr>
          <w:rFonts w:eastAsia="Times New Roman" w:cstheme="minorHAnsi"/>
          <w:sz w:val="24"/>
          <w:szCs w:val="24"/>
        </w:rPr>
        <w:t xml:space="preserve">know that you are available to assist with </w:t>
      </w:r>
      <w:r w:rsidR="00A93BF1">
        <w:rPr>
          <w:rFonts w:eastAsia="Times New Roman" w:cstheme="minorHAnsi"/>
          <w:sz w:val="24"/>
          <w:szCs w:val="24"/>
        </w:rPr>
        <w:t>additional</w:t>
      </w:r>
      <w:r w:rsidR="00C4178E" w:rsidRPr="006A0298">
        <w:rPr>
          <w:rFonts w:eastAsia="Times New Roman" w:cstheme="minorHAnsi"/>
          <w:sz w:val="24"/>
          <w:szCs w:val="24"/>
        </w:rPr>
        <w:t xml:space="preserve"> tasks to enrich the experience.</w:t>
      </w:r>
      <w:r>
        <w:rPr>
          <w:rFonts w:eastAsia="Times New Roman" w:cstheme="minorHAnsi"/>
          <w:sz w:val="24"/>
          <w:szCs w:val="24"/>
        </w:rPr>
        <w:t xml:space="preserve">  </w:t>
      </w:r>
      <w:r w:rsidR="00F27A32">
        <w:rPr>
          <w:rFonts w:eastAsia="Times New Roman" w:cstheme="minorHAnsi"/>
          <w:sz w:val="24"/>
          <w:szCs w:val="24"/>
        </w:rPr>
        <w:t xml:space="preserve">For example, you could prepare </w:t>
      </w:r>
      <w:r>
        <w:rPr>
          <w:rFonts w:eastAsia="Times New Roman" w:cstheme="minorHAnsi"/>
          <w:sz w:val="24"/>
          <w:szCs w:val="24"/>
        </w:rPr>
        <w:t xml:space="preserve">an educational handout that the RDN’s need </w:t>
      </w:r>
      <w:r w:rsidR="00A93BF1">
        <w:rPr>
          <w:rFonts w:eastAsia="Times New Roman" w:cstheme="minorHAnsi"/>
          <w:sz w:val="24"/>
          <w:szCs w:val="24"/>
        </w:rPr>
        <w:t>to use for CHF patients</w:t>
      </w:r>
    </w:p>
    <w:p w14:paraId="3DB9F188" w14:textId="3A418D35" w:rsidR="004011B1" w:rsidRPr="006A0298" w:rsidRDefault="004011B1" w:rsidP="004011B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 xml:space="preserve">Convince the dietitian that you are </w:t>
      </w:r>
      <w:proofErr w:type="gramStart"/>
      <w:r w:rsidRPr="006A0298">
        <w:rPr>
          <w:rFonts w:eastAsia="Times New Roman" w:cstheme="minorHAnsi"/>
          <w:sz w:val="24"/>
          <w:szCs w:val="24"/>
        </w:rPr>
        <w:t>a hard-working</w:t>
      </w:r>
      <w:proofErr w:type="gramEnd"/>
      <w:r w:rsidRPr="006A0298">
        <w:rPr>
          <w:rFonts w:eastAsia="Times New Roman" w:cstheme="minorHAnsi"/>
          <w:sz w:val="24"/>
          <w:szCs w:val="24"/>
        </w:rPr>
        <w:t>, self-starter and that you need to find a facility where you can volunteer to do your supervised practice hours</w:t>
      </w:r>
      <w:r w:rsidR="00164A8E" w:rsidRPr="006A0298">
        <w:rPr>
          <w:rFonts w:eastAsia="Times New Roman" w:cstheme="minorHAnsi"/>
          <w:sz w:val="24"/>
          <w:szCs w:val="24"/>
        </w:rPr>
        <w:t xml:space="preserve"> </w:t>
      </w:r>
      <w:r w:rsidR="00A93BF1">
        <w:rPr>
          <w:rFonts w:eastAsia="Times New Roman" w:cstheme="minorHAnsi"/>
          <w:sz w:val="24"/>
          <w:szCs w:val="24"/>
        </w:rPr>
        <w:t>to gain experience and education</w:t>
      </w:r>
      <w:r w:rsidR="00164A8E" w:rsidRPr="006A0298">
        <w:rPr>
          <w:rFonts w:eastAsia="Times New Roman" w:cstheme="minorHAnsi"/>
          <w:sz w:val="24"/>
          <w:szCs w:val="24"/>
        </w:rPr>
        <w:t xml:space="preserve"> </w:t>
      </w:r>
      <w:r w:rsidR="00A93BF1">
        <w:rPr>
          <w:rFonts w:eastAsia="Times New Roman" w:cstheme="minorHAnsi"/>
          <w:sz w:val="24"/>
          <w:szCs w:val="24"/>
        </w:rPr>
        <w:t>to</w:t>
      </w:r>
      <w:r w:rsidR="00164A8E" w:rsidRPr="006A0298">
        <w:rPr>
          <w:rFonts w:eastAsia="Times New Roman" w:cstheme="minorHAnsi"/>
          <w:sz w:val="24"/>
          <w:szCs w:val="24"/>
        </w:rPr>
        <w:t xml:space="preserve"> become eligible to take the RD</w:t>
      </w:r>
      <w:r w:rsidR="00F27A32">
        <w:rPr>
          <w:rFonts w:eastAsia="Times New Roman" w:cstheme="minorHAnsi"/>
          <w:sz w:val="24"/>
          <w:szCs w:val="24"/>
        </w:rPr>
        <w:t xml:space="preserve">N </w:t>
      </w:r>
      <w:r w:rsidR="00164A8E" w:rsidRPr="006A0298">
        <w:rPr>
          <w:rFonts w:eastAsia="Times New Roman" w:cstheme="minorHAnsi"/>
          <w:sz w:val="24"/>
          <w:szCs w:val="24"/>
        </w:rPr>
        <w:t>exam</w:t>
      </w:r>
    </w:p>
    <w:p w14:paraId="2173C51A" w14:textId="5A2362FD" w:rsidR="00652DC1" w:rsidRPr="006A0298" w:rsidRDefault="004011B1" w:rsidP="00652DC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 xml:space="preserve">Explain </w:t>
      </w:r>
      <w:r w:rsidR="00652DC1" w:rsidRPr="006A0298">
        <w:rPr>
          <w:rFonts w:eastAsia="Times New Roman" w:cstheme="minorHAnsi"/>
          <w:sz w:val="24"/>
          <w:szCs w:val="24"/>
        </w:rPr>
        <w:t>which parts of your supervised practice you would like to do at the facility</w:t>
      </w:r>
    </w:p>
    <w:p w14:paraId="715D2FFD" w14:textId="1A996CBD" w:rsidR="00C4178E" w:rsidRPr="006A0298" w:rsidRDefault="00652DC1" w:rsidP="00C4178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 xml:space="preserve">Be confident and ask for what you need! </w:t>
      </w:r>
      <w:r w:rsidR="00C4178E" w:rsidRPr="006A0298">
        <w:rPr>
          <w:rFonts w:eastAsia="Times New Roman" w:cstheme="minorHAnsi"/>
          <w:i/>
          <w:sz w:val="24"/>
          <w:szCs w:val="24"/>
        </w:rPr>
        <w:t>Will they take you as an intern?</w:t>
      </w:r>
      <w:r w:rsidR="00C4178E" w:rsidRPr="006A0298">
        <w:rPr>
          <w:rFonts w:eastAsia="Times New Roman" w:cstheme="minorHAnsi"/>
          <w:sz w:val="24"/>
          <w:szCs w:val="24"/>
        </w:rPr>
        <w:t xml:space="preserve"> It is more difficult to tell you no in person than on the phone or by email</w:t>
      </w:r>
    </w:p>
    <w:p w14:paraId="11749031" w14:textId="0AED468F" w:rsidR="005A4F53" w:rsidRPr="00A93BF1" w:rsidRDefault="00652DC1" w:rsidP="00A93BF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>If he or she is not the final decision maker, find out if there is someone else you should talk to or make a plan to get back in touch soon to find out the next steps</w:t>
      </w:r>
      <w:r w:rsidR="00EE7DDB" w:rsidRPr="00A93BF1">
        <w:rPr>
          <w:rFonts w:eastAsia="Times New Roman" w:cstheme="minorHAnsi"/>
          <w:sz w:val="24"/>
          <w:szCs w:val="24"/>
        </w:rPr>
        <w:t xml:space="preserve"> </w:t>
      </w:r>
    </w:p>
    <w:p w14:paraId="5E00DC20" w14:textId="77777777" w:rsidR="00805BA1" w:rsidRDefault="00805B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GridTable4-Accent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905"/>
        <w:gridCol w:w="3189"/>
        <w:gridCol w:w="2296"/>
        <w:gridCol w:w="2605"/>
      </w:tblGrid>
      <w:tr w:rsidR="00745519" w:rsidRPr="00341DFC" w14:paraId="6D38F30D" w14:textId="77777777" w:rsidTr="00503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5CB69E"/>
          </w:tcPr>
          <w:p w14:paraId="1057339E" w14:textId="77777777" w:rsidR="00745519" w:rsidRPr="00B422B0" w:rsidRDefault="00745519" w:rsidP="00503BBA">
            <w:pPr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>Rotation</w:t>
            </w:r>
          </w:p>
        </w:tc>
        <w:tc>
          <w:tcPr>
            <w:tcW w:w="905" w:type="dxa"/>
            <w:shd w:val="clear" w:color="auto" w:fill="5CB69E"/>
          </w:tcPr>
          <w:p w14:paraId="7C63FE59" w14:textId="77777777" w:rsidR="00745519" w:rsidRPr="00B422B0" w:rsidRDefault="00745519" w:rsidP="00503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>Hours</w:t>
            </w:r>
          </w:p>
        </w:tc>
        <w:tc>
          <w:tcPr>
            <w:tcW w:w="0" w:type="auto"/>
            <w:shd w:val="clear" w:color="auto" w:fill="5CB69E"/>
          </w:tcPr>
          <w:p w14:paraId="2321A740" w14:textId="77777777" w:rsidR="00745519" w:rsidRPr="00B422B0" w:rsidRDefault="00745519" w:rsidP="00503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>Preceptor</w:t>
            </w:r>
          </w:p>
        </w:tc>
        <w:tc>
          <w:tcPr>
            <w:tcW w:w="2296" w:type="dxa"/>
            <w:shd w:val="clear" w:color="auto" w:fill="5CB69E"/>
          </w:tcPr>
          <w:p w14:paraId="5D1A1319" w14:textId="77777777" w:rsidR="00745519" w:rsidRPr="00B422B0" w:rsidRDefault="00745519" w:rsidP="00503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>Appropriate Sites</w:t>
            </w:r>
          </w:p>
        </w:tc>
        <w:tc>
          <w:tcPr>
            <w:tcW w:w="2605" w:type="dxa"/>
            <w:shd w:val="clear" w:color="auto" w:fill="5CB69E"/>
          </w:tcPr>
          <w:p w14:paraId="4C5B7F8C" w14:textId="77777777" w:rsidR="00745519" w:rsidRPr="00B422B0" w:rsidRDefault="00745519" w:rsidP="00503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>Special Requirements</w:t>
            </w:r>
          </w:p>
        </w:tc>
      </w:tr>
      <w:tr w:rsidR="00745519" w:rsidRPr="00341DFC" w14:paraId="3EED8A32" w14:textId="77777777" w:rsidTr="00503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bottom w:val="single" w:sz="4" w:space="0" w:color="8EAADB" w:themeColor="accent5" w:themeTint="99"/>
            </w:tcBorders>
            <w:shd w:val="clear" w:color="auto" w:fill="D9D9D9" w:themeFill="background1" w:themeFillShade="D9"/>
          </w:tcPr>
          <w:p w14:paraId="3CD127B8" w14:textId="77777777" w:rsidR="00745519" w:rsidRPr="005A50C1" w:rsidRDefault="00745519" w:rsidP="00503BBA">
            <w:pPr>
              <w:spacing w:before="240"/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 Unicode MS" w:cstheme="minorHAnsi"/>
                <w:b w:val="0"/>
                <w:bCs w:val="0"/>
                <w:i/>
                <w:iCs/>
                <w:color w:val="000000" w:themeColor="text1"/>
                <w:position w:val="1"/>
                <w:sz w:val="24"/>
                <w:szCs w:val="24"/>
              </w:rPr>
              <w:t>*Recruit preceptors and sites for the shaded rotations (community, FS, NT, B&amp;E)</w:t>
            </w:r>
          </w:p>
        </w:tc>
      </w:tr>
      <w:tr w:rsidR="00745519" w:rsidRPr="00341DFC" w14:paraId="1398EC89" w14:textId="77777777" w:rsidTr="00503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DB7D87" w14:textId="77777777" w:rsidR="00745519" w:rsidRPr="005A50C1" w:rsidRDefault="00745519" w:rsidP="00503BBA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Orientation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6B63F5" w14:textId="77777777" w:rsidR="00745519" w:rsidRPr="005A50C1" w:rsidRDefault="00745519" w:rsidP="00503BBA">
            <w:pPr>
              <w:spacing w:before="24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68586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Program</w:t>
            </w: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 xml:space="preserve"> staff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D1F27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Tulsa, Oklahoma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C0DADC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 days in Tulsa</w:t>
            </w:r>
          </w:p>
        </w:tc>
      </w:tr>
      <w:tr w:rsidR="00745519" w:rsidRPr="00341DFC" w14:paraId="394D8D9D" w14:textId="77777777" w:rsidTr="00503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B7099A" w14:textId="77777777" w:rsidR="00745519" w:rsidRPr="005A50C1" w:rsidRDefault="00745519" w:rsidP="00503BBA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Community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83DE0" w14:textId="77777777" w:rsidR="00745519" w:rsidRPr="005A50C1" w:rsidRDefault="00745519" w:rsidP="00503BBA">
            <w:pPr>
              <w:spacing w:before="24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6A87A1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RDN, IBCLC, CHES, RN or other appropriate degreed professional. Certified fitness trainers are not appropriate preceptors for this rotation.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1E961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Public health, WIC, school nutrition, Head Start, wellness, grocery store, senior nutrition, YMCA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C3096E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Schedule at any time</w:t>
            </w:r>
          </w:p>
        </w:tc>
      </w:tr>
      <w:tr w:rsidR="00745519" w:rsidRPr="00341DFC" w14:paraId="7FB6EB48" w14:textId="77777777" w:rsidTr="00503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3E92E7" w14:textId="77777777" w:rsidR="00745519" w:rsidRPr="005A50C1" w:rsidRDefault="00745519" w:rsidP="00503BBA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 xml:space="preserve">Foodservice 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6A413" w14:textId="77777777" w:rsidR="00745519" w:rsidRPr="005A50C1" w:rsidRDefault="00745519" w:rsidP="00503BBA">
            <w:pPr>
              <w:spacing w:before="24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145FF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RDN, foodservice director, NDTR, CDM, executive chef, etc.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86F9FE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Public school, hospital or acute care, long-term care, Head Start, Meals on Wheels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313B25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Schedule any time</w:t>
            </w:r>
          </w:p>
        </w:tc>
      </w:tr>
      <w:tr w:rsidR="00745519" w:rsidRPr="00341DFC" w14:paraId="7B1669EE" w14:textId="77777777" w:rsidTr="00503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D1820" w14:textId="77777777" w:rsidR="00745519" w:rsidRPr="005A50C1" w:rsidRDefault="00745519" w:rsidP="00503BBA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Clinical 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435DEA" w14:textId="77777777" w:rsidR="00745519" w:rsidRPr="005A50C1" w:rsidRDefault="00745519" w:rsidP="00503BBA">
            <w:pPr>
              <w:spacing w:before="24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76AF20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KACAD program director – no external preceptor needed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945A7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Done at home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1E837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Must s</w:t>
            </w: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 xml:space="preserve">chedule before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Clinical 2</w:t>
            </w:r>
          </w:p>
        </w:tc>
      </w:tr>
      <w:tr w:rsidR="00745519" w:rsidRPr="00341DFC" w14:paraId="5300F50F" w14:textId="77777777" w:rsidTr="00503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ADB81" w14:textId="77777777" w:rsidR="00745519" w:rsidRPr="005A50C1" w:rsidRDefault="00745519" w:rsidP="00503BBA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Clinical 2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F3AA12" w14:textId="77777777" w:rsidR="00745519" w:rsidRPr="005A50C1" w:rsidRDefault="00745519" w:rsidP="00503BBA">
            <w:pPr>
              <w:spacing w:before="24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055F2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RDN required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7E03DA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Hospital, long-term acute care, skilled nursing or rehab, dialysis, diabetes center, cancer center, bariatric center, outpatient counseling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667AFD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 xml:space="preserve">One or two sites </w:t>
            </w:r>
          </w:p>
          <w:p w14:paraId="6D892FF9" w14:textId="77777777" w:rsidR="00745519" w:rsidRPr="005A50C1" w:rsidRDefault="00745519" w:rsidP="00503BBA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Required conditions to cover (may be split between sites):</w:t>
            </w:r>
          </w:p>
          <w:p w14:paraId="43024B28" w14:textId="77777777" w:rsidR="00745519" w:rsidRPr="005A50C1" w:rsidRDefault="00745519" w:rsidP="00745519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Overweight / obesity</w:t>
            </w:r>
          </w:p>
          <w:p w14:paraId="4A0A265B" w14:textId="77777777" w:rsidR="00745519" w:rsidRPr="005A50C1" w:rsidRDefault="00745519" w:rsidP="00745519">
            <w:pPr>
              <w:pStyle w:val="ListParagraph"/>
              <w:numPr>
                <w:ilvl w:val="0"/>
                <w:numId w:val="11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Endocrine disorders</w:t>
            </w:r>
          </w:p>
          <w:p w14:paraId="026E4F53" w14:textId="77777777" w:rsidR="00745519" w:rsidRPr="005A50C1" w:rsidRDefault="00745519" w:rsidP="00745519">
            <w:pPr>
              <w:pStyle w:val="ListParagraph"/>
              <w:numPr>
                <w:ilvl w:val="0"/>
                <w:numId w:val="11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Cancer</w:t>
            </w:r>
          </w:p>
          <w:p w14:paraId="5CE5C398" w14:textId="77777777" w:rsidR="00745519" w:rsidRPr="005A50C1" w:rsidRDefault="00745519" w:rsidP="00745519">
            <w:pPr>
              <w:pStyle w:val="ListParagraph"/>
              <w:numPr>
                <w:ilvl w:val="0"/>
                <w:numId w:val="11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Malnutrition and cardiovascular disease</w:t>
            </w:r>
          </w:p>
          <w:p w14:paraId="758D9102" w14:textId="77777777" w:rsidR="00745519" w:rsidRPr="005A50C1" w:rsidRDefault="00745519" w:rsidP="00745519">
            <w:pPr>
              <w:pStyle w:val="ListParagraph"/>
              <w:numPr>
                <w:ilvl w:val="0"/>
                <w:numId w:val="11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Gastrointestinal and renal diseases</w:t>
            </w:r>
          </w:p>
        </w:tc>
      </w:tr>
      <w:tr w:rsidR="00745519" w:rsidRPr="00341DFC" w14:paraId="10CFC418" w14:textId="77777777" w:rsidTr="00503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C619B0" w14:textId="77777777" w:rsidR="00745519" w:rsidRPr="005A50C1" w:rsidRDefault="00745519" w:rsidP="00503BBA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 xml:space="preserve">B&amp;E 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D45B97" w14:textId="77777777" w:rsidR="00745519" w:rsidRPr="005A50C1" w:rsidRDefault="00745519" w:rsidP="00503BBA">
            <w:pPr>
              <w:spacing w:before="24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160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5CA83D9" w14:textId="77777777" w:rsidR="00745519" w:rsidRPr="005A50C1" w:rsidRDefault="00745519" w:rsidP="00503BBA">
            <w:pPr>
              <w:spacing w:before="24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310D6D" w14:textId="77777777" w:rsidR="00745519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RDN, attorney, accountant, business owner</w:t>
            </w:r>
            <w:r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 xml:space="preserve">, </w:t>
            </w:r>
          </w:p>
          <w:p w14:paraId="65DCD028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 xml:space="preserve">SCORE or other small business mentor </w:t>
            </w:r>
            <w:hyperlink r:id="rId13" w:history="1">
              <w:r>
                <w:rPr>
                  <w:rStyle w:val="Hyperlink"/>
                </w:rPr>
                <w:t>https://www.score.org/</w:t>
              </w:r>
            </w:hyperlink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2A8C42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Nutrition consulting firms, wellness clinic, retail business, others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53B83C" w14:textId="77777777" w:rsidR="00745519" w:rsidRPr="005A50C1" w:rsidRDefault="00745519" w:rsidP="00503BBA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Done concurrently with NUTR 6314 (40 hours done as class assignment)</w:t>
            </w:r>
          </w:p>
        </w:tc>
      </w:tr>
    </w:tbl>
    <w:p w14:paraId="7DC67EB4" w14:textId="0C803910" w:rsidR="006A0298" w:rsidRPr="000D3CF0" w:rsidRDefault="006A0298" w:rsidP="00745519">
      <w:pPr>
        <w:jc w:val="center"/>
        <w:rPr>
          <w:rFonts w:cstheme="minorHAnsi"/>
        </w:rPr>
      </w:pPr>
    </w:p>
    <w:p w14:paraId="42F7B0FB" w14:textId="77777777" w:rsidR="00652DC1" w:rsidRPr="000D3CF0" w:rsidRDefault="00652DC1" w:rsidP="00C4178E">
      <w:pPr>
        <w:tabs>
          <w:tab w:val="left" w:pos="1080"/>
        </w:tabs>
        <w:rPr>
          <w:rFonts w:cstheme="minorHAnsi"/>
          <w:b/>
        </w:rPr>
      </w:pPr>
    </w:p>
    <w:sectPr w:rsidR="00652DC1" w:rsidRPr="000D3CF0" w:rsidSect="0064055F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E6B0" w14:textId="77777777" w:rsidR="006E54B1" w:rsidRDefault="006E54B1" w:rsidP="006A0298">
      <w:pPr>
        <w:spacing w:after="0" w:line="240" w:lineRule="auto"/>
      </w:pPr>
      <w:r>
        <w:separator/>
      </w:r>
    </w:p>
  </w:endnote>
  <w:endnote w:type="continuationSeparator" w:id="0">
    <w:p w14:paraId="031FAA75" w14:textId="77777777" w:rsidR="006E54B1" w:rsidRDefault="006E54B1" w:rsidP="006A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4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9FB27" w14:textId="77777777" w:rsidR="006A0298" w:rsidRDefault="006A0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4ED99" w14:textId="77777777" w:rsidR="006A0298" w:rsidRDefault="006A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DC51" w14:textId="77777777" w:rsidR="006E54B1" w:rsidRDefault="006E54B1" w:rsidP="006A0298">
      <w:pPr>
        <w:spacing w:after="0" w:line="240" w:lineRule="auto"/>
      </w:pPr>
      <w:r>
        <w:separator/>
      </w:r>
    </w:p>
  </w:footnote>
  <w:footnote w:type="continuationSeparator" w:id="0">
    <w:p w14:paraId="4D7DA972" w14:textId="77777777" w:rsidR="006E54B1" w:rsidRDefault="006E54B1" w:rsidP="006A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773"/>
    <w:multiLevelType w:val="hybridMultilevel"/>
    <w:tmpl w:val="5EC63188"/>
    <w:lvl w:ilvl="0" w:tplc="879E1B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CDA"/>
    <w:multiLevelType w:val="hybridMultilevel"/>
    <w:tmpl w:val="FE12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B28"/>
    <w:multiLevelType w:val="hybridMultilevel"/>
    <w:tmpl w:val="1CC2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AD9"/>
    <w:multiLevelType w:val="hybridMultilevel"/>
    <w:tmpl w:val="5B24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5E68"/>
    <w:multiLevelType w:val="hybridMultilevel"/>
    <w:tmpl w:val="1E78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5044"/>
    <w:multiLevelType w:val="hybridMultilevel"/>
    <w:tmpl w:val="338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F7138"/>
    <w:multiLevelType w:val="hybridMultilevel"/>
    <w:tmpl w:val="61DC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EEC"/>
    <w:multiLevelType w:val="hybridMultilevel"/>
    <w:tmpl w:val="53C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952B0"/>
    <w:multiLevelType w:val="hybridMultilevel"/>
    <w:tmpl w:val="82EC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1268"/>
    <w:multiLevelType w:val="hybridMultilevel"/>
    <w:tmpl w:val="BB5E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5018"/>
    <w:multiLevelType w:val="hybridMultilevel"/>
    <w:tmpl w:val="7CB6B25E"/>
    <w:lvl w:ilvl="0" w:tplc="64EA0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731D5"/>
    <w:multiLevelType w:val="hybridMultilevel"/>
    <w:tmpl w:val="F358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877"/>
    <w:multiLevelType w:val="hybridMultilevel"/>
    <w:tmpl w:val="19D09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B4F7C"/>
    <w:multiLevelType w:val="hybridMultilevel"/>
    <w:tmpl w:val="E2B2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4808"/>
    <w:multiLevelType w:val="hybridMultilevel"/>
    <w:tmpl w:val="60783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00384"/>
    <w:multiLevelType w:val="hybridMultilevel"/>
    <w:tmpl w:val="1F52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A02FD"/>
    <w:multiLevelType w:val="hybridMultilevel"/>
    <w:tmpl w:val="09987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317868"/>
    <w:multiLevelType w:val="hybridMultilevel"/>
    <w:tmpl w:val="22E0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67EB7"/>
    <w:multiLevelType w:val="hybridMultilevel"/>
    <w:tmpl w:val="091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5DF1"/>
    <w:multiLevelType w:val="hybridMultilevel"/>
    <w:tmpl w:val="7E36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23C90"/>
    <w:multiLevelType w:val="multilevel"/>
    <w:tmpl w:val="6434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A07C7"/>
    <w:multiLevelType w:val="hybridMultilevel"/>
    <w:tmpl w:val="7EB435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281404">
    <w:abstractNumId w:val="20"/>
  </w:num>
  <w:num w:numId="2" w16cid:durableId="524833730">
    <w:abstractNumId w:val="16"/>
  </w:num>
  <w:num w:numId="3" w16cid:durableId="1662155424">
    <w:abstractNumId w:val="14"/>
  </w:num>
  <w:num w:numId="4" w16cid:durableId="527960081">
    <w:abstractNumId w:val="7"/>
  </w:num>
  <w:num w:numId="5" w16cid:durableId="393047698">
    <w:abstractNumId w:val="19"/>
  </w:num>
  <w:num w:numId="6" w16cid:durableId="829298986">
    <w:abstractNumId w:val="9"/>
  </w:num>
  <w:num w:numId="7" w16cid:durableId="240607615">
    <w:abstractNumId w:val="17"/>
  </w:num>
  <w:num w:numId="8" w16cid:durableId="485050940">
    <w:abstractNumId w:val="4"/>
  </w:num>
  <w:num w:numId="9" w16cid:durableId="2116561296">
    <w:abstractNumId w:val="6"/>
  </w:num>
  <w:num w:numId="10" w16cid:durableId="841897325">
    <w:abstractNumId w:val="21"/>
  </w:num>
  <w:num w:numId="11" w16cid:durableId="525169843">
    <w:abstractNumId w:val="12"/>
  </w:num>
  <w:num w:numId="12" w16cid:durableId="1367561235">
    <w:abstractNumId w:val="15"/>
  </w:num>
  <w:num w:numId="13" w16cid:durableId="1390491860">
    <w:abstractNumId w:val="11"/>
  </w:num>
  <w:num w:numId="14" w16cid:durableId="641427598">
    <w:abstractNumId w:val="2"/>
  </w:num>
  <w:num w:numId="15" w16cid:durableId="1179537727">
    <w:abstractNumId w:val="10"/>
  </w:num>
  <w:num w:numId="16" w16cid:durableId="748502915">
    <w:abstractNumId w:val="0"/>
  </w:num>
  <w:num w:numId="17" w16cid:durableId="1435400714">
    <w:abstractNumId w:val="8"/>
  </w:num>
  <w:num w:numId="18" w16cid:durableId="2026325408">
    <w:abstractNumId w:val="1"/>
  </w:num>
  <w:num w:numId="19" w16cid:durableId="1342198906">
    <w:abstractNumId w:val="13"/>
  </w:num>
  <w:num w:numId="20" w16cid:durableId="1619288606">
    <w:abstractNumId w:val="18"/>
  </w:num>
  <w:num w:numId="21" w16cid:durableId="888609385">
    <w:abstractNumId w:val="3"/>
  </w:num>
  <w:num w:numId="22" w16cid:durableId="503521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B1"/>
    <w:rsid w:val="000201DE"/>
    <w:rsid w:val="00025743"/>
    <w:rsid w:val="000A1D4D"/>
    <w:rsid w:val="000B0B1B"/>
    <w:rsid w:val="000D3CF0"/>
    <w:rsid w:val="00164A8E"/>
    <w:rsid w:val="001D21B4"/>
    <w:rsid w:val="00377727"/>
    <w:rsid w:val="00385D83"/>
    <w:rsid w:val="003F4BB2"/>
    <w:rsid w:val="004011B1"/>
    <w:rsid w:val="004532FE"/>
    <w:rsid w:val="005A29F6"/>
    <w:rsid w:val="005A4F53"/>
    <w:rsid w:val="005E4DDA"/>
    <w:rsid w:val="0064055F"/>
    <w:rsid w:val="00652DC1"/>
    <w:rsid w:val="006A0298"/>
    <w:rsid w:val="006A707B"/>
    <w:rsid w:val="006E54B1"/>
    <w:rsid w:val="0072655E"/>
    <w:rsid w:val="00745519"/>
    <w:rsid w:val="00746B29"/>
    <w:rsid w:val="00805BA1"/>
    <w:rsid w:val="00911E84"/>
    <w:rsid w:val="0094171F"/>
    <w:rsid w:val="009825D8"/>
    <w:rsid w:val="009E0C97"/>
    <w:rsid w:val="00A90B94"/>
    <w:rsid w:val="00A93BF1"/>
    <w:rsid w:val="00B115C3"/>
    <w:rsid w:val="00B95025"/>
    <w:rsid w:val="00BE43A5"/>
    <w:rsid w:val="00BF6D10"/>
    <w:rsid w:val="00C4178E"/>
    <w:rsid w:val="00C9125A"/>
    <w:rsid w:val="00CE5751"/>
    <w:rsid w:val="00CF0079"/>
    <w:rsid w:val="00D54CD4"/>
    <w:rsid w:val="00D56DEF"/>
    <w:rsid w:val="00DF36F2"/>
    <w:rsid w:val="00E069AC"/>
    <w:rsid w:val="00EE7DDB"/>
    <w:rsid w:val="00F27A32"/>
    <w:rsid w:val="00F43F87"/>
    <w:rsid w:val="00F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0531"/>
  <w15:docId w15:val="{D813D551-88B1-48F7-9F16-86B45E1A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1B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11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98"/>
  </w:style>
  <w:style w:type="paragraph" w:styleId="Footer">
    <w:name w:val="footer"/>
    <w:basedOn w:val="Normal"/>
    <w:link w:val="FooterChar"/>
    <w:uiPriority w:val="99"/>
    <w:unhideWhenUsed/>
    <w:rsid w:val="006A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98"/>
  </w:style>
  <w:style w:type="table" w:styleId="TableGrid">
    <w:name w:val="Table Grid"/>
    <w:basedOn w:val="TableNormal"/>
    <w:uiPriority w:val="59"/>
    <w:rsid w:val="000D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7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25743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745519"/>
    <w:pPr>
      <w:spacing w:after="0" w:line="240" w:lineRule="auto"/>
    </w:pPr>
    <w:rPr>
      <w:color w:val="009999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trightpro.org/find-a-preceptor/?state=ShowSearch" TargetMode="External"/><Relationship Id="rId13" Type="http://schemas.openxmlformats.org/officeDocument/2006/relationships/hyperlink" Target="https://www.scor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acad.org/facilities-and-precepto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illednursingfacilities.org/director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ata.medicare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profs.com/us/nutritionists-dietitians?tr=Hdr_Bran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Landers</dc:creator>
  <cp:lastModifiedBy>Patti Landers</cp:lastModifiedBy>
  <cp:revision>2</cp:revision>
  <dcterms:created xsi:type="dcterms:W3CDTF">2023-10-27T16:11:00Z</dcterms:created>
  <dcterms:modified xsi:type="dcterms:W3CDTF">2023-10-27T16:11:00Z</dcterms:modified>
</cp:coreProperties>
</file>